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31D4D" w14:textId="25534ECD" w:rsidR="00F5085D" w:rsidRPr="00A02CDE" w:rsidRDefault="00ED5232">
      <w:pPr>
        <w:rPr>
          <w:sz w:val="36"/>
          <w:szCs w:val="36"/>
        </w:rPr>
      </w:pPr>
      <w:r w:rsidRPr="00A02CDE">
        <w:rPr>
          <w:i/>
          <w:iCs/>
          <w:sz w:val="36"/>
          <w:szCs w:val="36"/>
        </w:rPr>
        <w:t>Les Lumières de la Ville</w:t>
      </w:r>
      <w:r w:rsidR="00A02CDE" w:rsidRPr="00A02CDE">
        <w:rPr>
          <w:sz w:val="36"/>
          <w:szCs w:val="36"/>
        </w:rPr>
        <w:t xml:space="preserve"> – analyses esthétiques</w:t>
      </w:r>
    </w:p>
    <w:p w14:paraId="268D1A11" w14:textId="77777777" w:rsidR="00ED5232" w:rsidRDefault="00ED5232"/>
    <w:p w14:paraId="70583099" w14:textId="77777777" w:rsidR="00A02CDE" w:rsidRDefault="00A02CDE"/>
    <w:p w14:paraId="1EA4304B" w14:textId="77777777" w:rsidR="00F90809" w:rsidRPr="00A02CDE" w:rsidRDefault="00F90809" w:rsidP="00F90809">
      <w:pPr>
        <w:rPr>
          <w:b/>
          <w:bCs/>
          <w:sz w:val="28"/>
          <w:szCs w:val="28"/>
        </w:rPr>
      </w:pPr>
      <w:r w:rsidRPr="00A02CDE">
        <w:rPr>
          <w:b/>
          <w:bCs/>
          <w:sz w:val="28"/>
          <w:szCs w:val="28"/>
          <w:u w:val="single"/>
        </w:rPr>
        <w:t>Ouvrages</w:t>
      </w:r>
      <w:r w:rsidRPr="00A02CDE">
        <w:rPr>
          <w:b/>
          <w:bCs/>
          <w:sz w:val="28"/>
          <w:szCs w:val="28"/>
        </w:rPr>
        <w:t> :</w:t>
      </w:r>
    </w:p>
    <w:p w14:paraId="1BDD65E5" w14:textId="77777777" w:rsidR="00F90809" w:rsidRDefault="00F90809" w:rsidP="00F90809"/>
    <w:p w14:paraId="179AC1F5" w14:textId="1A4BA74F" w:rsidR="00F90809" w:rsidRPr="00291B43" w:rsidRDefault="00F90809" w:rsidP="00F90809">
      <w:pPr>
        <w:rPr>
          <w:b/>
          <w:bCs/>
          <w:color w:val="0070C0"/>
        </w:rPr>
      </w:pPr>
      <w:r w:rsidRPr="00291B43">
        <w:rPr>
          <w:b/>
          <w:bCs/>
          <w:color w:val="0070C0"/>
        </w:rPr>
        <w:t xml:space="preserve">- Michel </w:t>
      </w:r>
      <w:proofErr w:type="spellStart"/>
      <w:r w:rsidRPr="00291B43">
        <w:rPr>
          <w:b/>
          <w:bCs/>
          <w:color w:val="0070C0"/>
        </w:rPr>
        <w:t>Chion</w:t>
      </w:r>
      <w:proofErr w:type="spellEnd"/>
      <w:r w:rsidRPr="00291B43">
        <w:rPr>
          <w:b/>
          <w:bCs/>
          <w:color w:val="0070C0"/>
        </w:rPr>
        <w:t xml:space="preserve">, </w:t>
      </w:r>
      <w:r w:rsidRPr="00291B43">
        <w:rPr>
          <w:b/>
          <w:bCs/>
          <w:i/>
          <w:iCs/>
          <w:color w:val="0070C0"/>
        </w:rPr>
        <w:t>Les Lumières de la ville</w:t>
      </w:r>
      <w:r w:rsidRPr="00291B43">
        <w:rPr>
          <w:b/>
          <w:bCs/>
          <w:color w:val="0070C0"/>
        </w:rPr>
        <w:t>, Nathan, collection « Synopsis », 1989, 112 pages.</w:t>
      </w:r>
    </w:p>
    <w:p w14:paraId="33134F86" w14:textId="4D761F26" w:rsidR="00F90809" w:rsidRDefault="00F90809" w:rsidP="00F90809">
      <w:r>
        <w:t xml:space="preserve">« Etude critique » </w:t>
      </w:r>
      <w:r w:rsidR="00104777">
        <w:t xml:space="preserve">publiée </w:t>
      </w:r>
      <w:r>
        <w:t xml:space="preserve">dans une collection sur le modèle des </w:t>
      </w:r>
      <w:r w:rsidR="00104777">
        <w:t>ouvrages</w:t>
      </w:r>
      <w:r>
        <w:t xml:space="preserve"> type « Profil</w:t>
      </w:r>
      <w:r w:rsidR="00104777">
        <w:t xml:space="preserve"> » pour la littérature. </w:t>
      </w:r>
      <w:r w:rsidR="00697062">
        <w:t>L’ouvrage c</w:t>
      </w:r>
      <w:r w:rsidR="00D76B6A">
        <w:t>omprend</w:t>
      </w:r>
      <w:r w:rsidR="00104777">
        <w:t xml:space="preserve"> des éléments de contextualisation historique</w:t>
      </w:r>
      <w:r w:rsidR="00D76B6A">
        <w:t xml:space="preserve">, </w:t>
      </w:r>
      <w:r w:rsidR="00104777">
        <w:t>un découpage de l’œuvre</w:t>
      </w:r>
      <w:r w:rsidR="00697062">
        <w:t xml:space="preserve"> avec</w:t>
      </w:r>
      <w:r w:rsidR="00D76B6A">
        <w:t xml:space="preserve"> </w:t>
      </w:r>
      <w:r w:rsidR="00104777">
        <w:t>des analyses</w:t>
      </w:r>
      <w:r w:rsidR="00697062">
        <w:t>, voire</w:t>
      </w:r>
      <w:r w:rsidR="00104777">
        <w:t xml:space="preserve"> éventuellement des documents.</w:t>
      </w:r>
    </w:p>
    <w:p w14:paraId="20387F99" w14:textId="226B157C" w:rsidR="00104777" w:rsidRDefault="00104777" w:rsidP="00F90809">
      <w:r>
        <w:t>L’avant-propos précise le plan adopté ici</w:t>
      </w:r>
      <w:r w:rsidR="004D69F7">
        <w:t xml:space="preserve">, </w:t>
      </w:r>
      <w:r>
        <w:t>la part réservée à chacune de ces approches</w:t>
      </w:r>
      <w:r w:rsidR="004D69F7">
        <w:t xml:space="preserve"> ainsi que la volonté de les croiser</w:t>
      </w:r>
      <w:r>
        <w:t> :</w:t>
      </w:r>
    </w:p>
    <w:p w14:paraId="4DDB0184" w14:textId="6C5EDDB9" w:rsidR="00104777" w:rsidRPr="004D69F7" w:rsidRDefault="00104777" w:rsidP="00F90809">
      <w:pPr>
        <w:rPr>
          <w:sz w:val="22"/>
          <w:szCs w:val="22"/>
        </w:rPr>
      </w:pPr>
      <w:r w:rsidRPr="004D69F7">
        <w:rPr>
          <w:sz w:val="22"/>
          <w:szCs w:val="22"/>
        </w:rPr>
        <w:t>« Ce livre vise à présenter un certain nombre de données historiques et concrètes sur un des films les plus célèbres et les plus immenses du cinéma, tout en esquissant une approche critique à différents niveaux.</w:t>
      </w:r>
    </w:p>
    <w:p w14:paraId="2159EBCA" w14:textId="77777777" w:rsidR="004D69F7" w:rsidRPr="004D69F7" w:rsidRDefault="004D69F7" w:rsidP="00F90809">
      <w:pPr>
        <w:rPr>
          <w:sz w:val="22"/>
          <w:szCs w:val="22"/>
        </w:rPr>
      </w:pPr>
    </w:p>
    <w:p w14:paraId="5C3253B6" w14:textId="4B3566E1" w:rsidR="00104777" w:rsidRPr="004D69F7" w:rsidRDefault="00104777" w:rsidP="00F90809">
      <w:pPr>
        <w:rPr>
          <w:sz w:val="22"/>
          <w:szCs w:val="22"/>
        </w:rPr>
      </w:pPr>
      <w:r w:rsidRPr="004D69F7">
        <w:rPr>
          <w:sz w:val="22"/>
          <w:szCs w:val="22"/>
        </w:rPr>
        <w:t>La première partie synthétise un certain nombre d’informations indispensables, et situe le film dans la carrière de Chaplin et le contexte de l’époque.</w:t>
      </w:r>
    </w:p>
    <w:p w14:paraId="44A94274" w14:textId="77777777" w:rsidR="004D69F7" w:rsidRPr="004D69F7" w:rsidRDefault="004D69F7" w:rsidP="00F90809">
      <w:pPr>
        <w:rPr>
          <w:sz w:val="22"/>
          <w:szCs w:val="22"/>
        </w:rPr>
      </w:pPr>
    </w:p>
    <w:p w14:paraId="042828BE" w14:textId="279C32CF" w:rsidR="00104777" w:rsidRPr="004D69F7" w:rsidRDefault="00104777" w:rsidP="00F90809">
      <w:pPr>
        <w:rPr>
          <w:sz w:val="22"/>
          <w:szCs w:val="22"/>
        </w:rPr>
      </w:pPr>
      <w:r w:rsidRPr="004D69F7">
        <w:rPr>
          <w:sz w:val="22"/>
          <w:szCs w:val="22"/>
        </w:rPr>
        <w:t>La seconde, peut-être moins classique dans sa forme, veut faire entrer le lecteur plus avant. Considérant qu’une grande œuvre est un labyrinthe où il faut accepter d’entrer, elle lui propose d’avancer pas à pas, scène par scène, dans ce labyrinthe, et plutôt que de séparer en chapitres indépendants les aspects techniques, thématiques, psychologiques et autres du film, elle adopte la formule consistant à les entrecroiser</w:t>
      </w:r>
      <w:r w:rsidR="004D69F7" w:rsidRPr="004D69F7">
        <w:rPr>
          <w:sz w:val="22"/>
          <w:szCs w:val="22"/>
        </w:rPr>
        <w:t>, sous une forme qui cependant souhaite rester lisible et consultable. Chaque séquence (découpée et titrée sous notre responsabilité, sans référence à aucun scénario publié) est racontée, avec des précisions de minutage, distribution, décor, jeux de scènes, etc. Les plus importantes d’entre elles donnent lieu à différents développements. Ainsi nous espérons encourager une vision vivante et multiple.</w:t>
      </w:r>
    </w:p>
    <w:p w14:paraId="336C6FEA" w14:textId="77777777" w:rsidR="004D69F7" w:rsidRPr="004D69F7" w:rsidRDefault="004D69F7" w:rsidP="00F90809">
      <w:pPr>
        <w:rPr>
          <w:sz w:val="22"/>
          <w:szCs w:val="22"/>
        </w:rPr>
      </w:pPr>
    </w:p>
    <w:p w14:paraId="532330A6" w14:textId="6BCFA306" w:rsidR="004D69F7" w:rsidRPr="004D69F7" w:rsidRDefault="004D69F7" w:rsidP="00F90809">
      <w:pPr>
        <w:rPr>
          <w:sz w:val="22"/>
          <w:szCs w:val="22"/>
        </w:rPr>
      </w:pPr>
      <w:r w:rsidRPr="004D69F7">
        <w:rPr>
          <w:sz w:val="22"/>
          <w:szCs w:val="22"/>
        </w:rPr>
        <w:t>La troisième partie se compose de trois chapitres courts et généraux, resituant ce film dans l’évolution générale de Chaplin, et notamment – c’est peut-être la nouveauté – dans son évolution ultérieure. Le film est en effet regardé par rapport à son futur, et non, comme on le fait souvent, par rapport à son passé. Comme il s’agit d’une œuvre cruciale de l’auteur, née au milieu de sa maturité et dans une période de bouleversement du cinéma, les enjeux et les perspectives ne manquent pas.</w:t>
      </w:r>
    </w:p>
    <w:p w14:paraId="093D7D4E" w14:textId="77777777" w:rsidR="004D69F7" w:rsidRPr="004D69F7" w:rsidRDefault="004D69F7" w:rsidP="00F90809">
      <w:pPr>
        <w:rPr>
          <w:sz w:val="22"/>
          <w:szCs w:val="22"/>
        </w:rPr>
      </w:pPr>
    </w:p>
    <w:p w14:paraId="7E215883" w14:textId="013627A9" w:rsidR="004D69F7" w:rsidRPr="004D69F7" w:rsidRDefault="004D69F7" w:rsidP="00F90809">
      <w:pPr>
        <w:rPr>
          <w:sz w:val="22"/>
          <w:szCs w:val="22"/>
        </w:rPr>
      </w:pPr>
      <w:r w:rsidRPr="004D69F7">
        <w:rPr>
          <w:sz w:val="22"/>
          <w:szCs w:val="22"/>
        </w:rPr>
        <w:t>Une quatrième partie rassemble quelques documents sur le tournage du film, et sur son accueil critique. »</w:t>
      </w:r>
    </w:p>
    <w:p w14:paraId="789AD941" w14:textId="2A0B3077" w:rsidR="00104777" w:rsidRDefault="00104777" w:rsidP="00F90809"/>
    <w:p w14:paraId="52C36DF4" w14:textId="636E3756" w:rsidR="008C5E2A" w:rsidRDefault="00A70CCD" w:rsidP="00F90809">
      <w:r>
        <w:t>L’essentiel des analyses</w:t>
      </w:r>
      <w:r w:rsidR="00A24992">
        <w:t xml:space="preserve"> du film</w:t>
      </w:r>
      <w:r>
        <w:t xml:space="preserve"> se trouve donc dans la deuxième partie, « </w:t>
      </w:r>
      <w:r w:rsidRPr="006A3EC2">
        <w:rPr>
          <w:i/>
          <w:iCs/>
        </w:rPr>
        <w:t>Les Lumières de la ville</w:t>
      </w:r>
      <w:r>
        <w:t xml:space="preserve"> pas à pas », qui propose un </w:t>
      </w:r>
      <w:r w:rsidR="008C5E2A">
        <w:t>« tableau des séquences »</w:t>
      </w:r>
      <w:r>
        <w:t xml:space="preserve"> puis un examen dans l’ordre de ces </w:t>
      </w:r>
      <w:r>
        <w:lastRenderedPageBreak/>
        <w:t xml:space="preserve">séquences. </w:t>
      </w:r>
      <w:r w:rsidR="008C5E2A">
        <w:t xml:space="preserve">Pour chacune d’entre elles, </w:t>
      </w:r>
      <w:proofErr w:type="spellStart"/>
      <w:r w:rsidR="008C5E2A">
        <w:t>Chion</w:t>
      </w:r>
      <w:proofErr w:type="spellEnd"/>
      <w:r w:rsidR="008C5E2A">
        <w:t xml:space="preserve"> note le lieu, les personnages (comme dans un scénario) et le minutage, ainsi qu’un résumé en </w:t>
      </w:r>
      <w:r w:rsidR="00302DC6">
        <w:t xml:space="preserve">un </w:t>
      </w:r>
      <w:r w:rsidR="008C5E2A">
        <w:t xml:space="preserve">paragraphe. Suivent des éléments d’analyse rassemblés dans des catégories différentes : « Echos », « Ligne dramatique », « Thématique », « Le décor » « Musique et effets sonores », « Technique » auxquelles s’ajoutent encore d’autres selon les séquences. </w:t>
      </w:r>
    </w:p>
    <w:p w14:paraId="1611E21D" w14:textId="77F1E26D" w:rsidR="00A70CCD" w:rsidRDefault="008C5E2A" w:rsidP="00F90809">
      <w:r>
        <w:t xml:space="preserve">Ni le respect du découpage ni celui des catégories n’exclut les renvois entre séquences, signalées explicitement grâce au </w:t>
      </w:r>
      <w:r w:rsidR="00A24992">
        <w:t>tableau des séquences</w:t>
      </w:r>
      <w:r>
        <w:t>.</w:t>
      </w:r>
      <w:r w:rsidR="007A27CE">
        <w:t xml:space="preserve"> Ainsi l’analyse de la séquence 2</w:t>
      </w:r>
      <w:r w:rsidR="003508EF">
        <w:t xml:space="preserve"> </w:t>
      </w:r>
      <w:r w:rsidR="007A27CE">
        <w:t xml:space="preserve">(« La statue ») suscite-t-elle des correspondances avec la 30 (« La reconnaissance »), et </w:t>
      </w:r>
      <w:r w:rsidR="00302DC6">
        <w:t xml:space="preserve">celle de la </w:t>
      </w:r>
      <w:r w:rsidR="007A27CE">
        <w:t xml:space="preserve">7 (« Le night-club ») </w:t>
      </w:r>
      <w:r w:rsidR="00302DC6">
        <w:t xml:space="preserve">offre-t-elle l’occasion d’un développement intitulé « Thématique : le manger », qui lie le spaghetti avalé dans </w:t>
      </w:r>
      <w:r w:rsidR="00B4056F">
        <w:t>cette</w:t>
      </w:r>
      <w:r w:rsidR="00302DC6">
        <w:t xml:space="preserve"> scène au fil démaillé dans la séquence 22 (« Le Vagabond chez la Jeune fille </w:t>
      </w:r>
      <w:proofErr w:type="gramStart"/>
      <w:r w:rsidR="00302DC6">
        <w:t>»)…</w:t>
      </w:r>
      <w:proofErr w:type="gramEnd"/>
    </w:p>
    <w:p w14:paraId="2A5A2D49" w14:textId="4C418FE4" w:rsidR="00302DC6" w:rsidRDefault="00302DC6" w:rsidP="00F90809">
      <w:r>
        <w:t xml:space="preserve">Autant d’éléments d’analyses présentés de manière succincte ou sommaire, et dont l’intérêt est aussi d’être rassemblées de manière linéaire, </w:t>
      </w:r>
      <w:r w:rsidR="00A24992">
        <w:t>permettant</w:t>
      </w:r>
      <w:r>
        <w:t xml:space="preserve"> de suivre </w:t>
      </w:r>
      <w:r w:rsidR="00B4056F">
        <w:t xml:space="preserve">progressivement </w:t>
      </w:r>
      <w:r w:rsidR="00A24992">
        <w:t>les variations de la mise en scène sur certains aspects, en particulier la musique et le son.</w:t>
      </w:r>
    </w:p>
    <w:p w14:paraId="678D8405" w14:textId="77777777" w:rsidR="00A24992" w:rsidRDefault="00A24992" w:rsidP="00F90809"/>
    <w:p w14:paraId="3993A9BD" w14:textId="351C8C0C" w:rsidR="00A24992" w:rsidRDefault="00A24992" w:rsidP="00F90809">
      <w:r>
        <w:t>La troisième partie, « </w:t>
      </w:r>
      <w:r w:rsidRPr="006A3EC2">
        <w:rPr>
          <w:i/>
          <w:iCs/>
        </w:rPr>
        <w:t>Les Lumières de la ville</w:t>
      </w:r>
      <w:r>
        <w:t xml:space="preserve"> en perspective », invite </w:t>
      </w:r>
      <w:r w:rsidR="00B4056F">
        <w:t>ensuite</w:t>
      </w:r>
      <w:r>
        <w:t xml:space="preserve"> à des analyses comparées : la première</w:t>
      </w:r>
      <w:r w:rsidR="00B4056F">
        <w:t xml:space="preserve"> (</w:t>
      </w:r>
      <w:r>
        <w:t xml:space="preserve">« Charlot </w:t>
      </w:r>
      <w:r w:rsidR="00B4056F">
        <w:t>l’I</w:t>
      </w:r>
      <w:r>
        <w:t>nterposé »</w:t>
      </w:r>
      <w:r w:rsidR="00B4056F">
        <w:t>)</w:t>
      </w:r>
      <w:r>
        <w:t xml:space="preserve"> avec</w:t>
      </w:r>
      <w:r w:rsidR="00B4056F">
        <w:t xml:space="preserve"> </w:t>
      </w:r>
      <w:r w:rsidR="00B4056F" w:rsidRPr="00B4056F">
        <w:rPr>
          <w:i/>
          <w:iCs/>
        </w:rPr>
        <w:t>Kid Auto Races in Venice</w:t>
      </w:r>
      <w:r w:rsidR="00B4056F">
        <w:t>,</w:t>
      </w:r>
      <w:r>
        <w:t xml:space="preserve"> l</w:t>
      </w:r>
      <w:r w:rsidR="00B4056F">
        <w:t>’un des tout</w:t>
      </w:r>
      <w:r>
        <w:t xml:space="preserve"> premier</w:t>
      </w:r>
      <w:r w:rsidR="00B4056F">
        <w:t>s</w:t>
      </w:r>
      <w:r>
        <w:t xml:space="preserve"> court-métrage</w:t>
      </w:r>
      <w:r w:rsidR="00B4056F">
        <w:t>s</w:t>
      </w:r>
      <w:r>
        <w:t xml:space="preserve"> mettant en scène le vagabond de Chaplin, la deuxième</w:t>
      </w:r>
      <w:r w:rsidR="00B4056F">
        <w:t xml:space="preserve"> (</w:t>
      </w:r>
      <w:r>
        <w:t>« Le cinéma parlant me fascine »</w:t>
      </w:r>
      <w:r w:rsidR="00B4056F">
        <w:t>)</w:t>
      </w:r>
      <w:r>
        <w:t xml:space="preserve">, avec </w:t>
      </w:r>
      <w:r w:rsidRPr="00A24992">
        <w:rPr>
          <w:i/>
          <w:iCs/>
        </w:rPr>
        <w:t>Le Dictateur</w:t>
      </w:r>
      <w:r>
        <w:t xml:space="preserve"> notamment, </w:t>
      </w:r>
      <w:r w:rsidR="00B4056F">
        <w:t>autour de l’intérêt particulier de Chaplin pour la langue et</w:t>
      </w:r>
      <w:r w:rsidR="00241736">
        <w:t xml:space="preserve"> le</w:t>
      </w:r>
      <w:r w:rsidR="00B4056F">
        <w:t xml:space="preserve"> discours, </w:t>
      </w:r>
      <w:r>
        <w:t xml:space="preserve">et la troisième, </w:t>
      </w:r>
      <w:r w:rsidR="00B4056F">
        <w:t>(</w:t>
      </w:r>
      <w:r>
        <w:t>« Des yeux vers les pieds »</w:t>
      </w:r>
      <w:r w:rsidR="00B4056F">
        <w:t>)</w:t>
      </w:r>
      <w:r>
        <w:t xml:space="preserve"> avec </w:t>
      </w:r>
      <w:r w:rsidRPr="00A24992">
        <w:rPr>
          <w:i/>
          <w:iCs/>
        </w:rPr>
        <w:t>Les Feux de la Rampe</w:t>
      </w:r>
      <w:r w:rsidR="00B4056F">
        <w:t>, pour évoquer l’unité entre les jeux de regards et les démarches des personnages.</w:t>
      </w:r>
    </w:p>
    <w:p w14:paraId="205FEE5E" w14:textId="77777777" w:rsidR="00500F8E" w:rsidRDefault="00B4056F" w:rsidP="00F90809">
      <w:r>
        <w:t xml:space="preserve">C’est la première de ces analyses, </w:t>
      </w:r>
      <w:r w:rsidRPr="00552110">
        <w:rPr>
          <w:b/>
          <w:bCs/>
          <w:color w:val="0070C0"/>
        </w:rPr>
        <w:t>« Charlot l’Interposé », p. 84-89</w:t>
      </w:r>
      <w:r w:rsidRPr="00883C77">
        <w:t>,</w:t>
      </w:r>
      <w:r w:rsidRPr="00552110">
        <w:rPr>
          <w:color w:val="0070C0"/>
        </w:rPr>
        <w:t xml:space="preserve"> </w:t>
      </w:r>
      <w:r>
        <w:t xml:space="preserve">qui </w:t>
      </w:r>
      <w:r w:rsidR="00552110">
        <w:t xml:space="preserve">concerne le plus directement </w:t>
      </w:r>
      <w:r w:rsidR="00552110" w:rsidRPr="006A3EC2">
        <w:rPr>
          <w:i/>
          <w:iCs/>
        </w:rPr>
        <w:t>Les Lumières de la ville</w:t>
      </w:r>
      <w:r w:rsidR="00552110">
        <w:t xml:space="preserve">. Après avoir décrit comment Charlot </w:t>
      </w:r>
      <w:r w:rsidR="00B60425">
        <w:t>se place</w:t>
      </w:r>
      <w:r w:rsidR="00552110">
        <w:t xml:space="preserve">, dans </w:t>
      </w:r>
      <w:r w:rsidR="00552110" w:rsidRPr="00B4056F">
        <w:rPr>
          <w:i/>
          <w:iCs/>
        </w:rPr>
        <w:t>Kid Auto Races in Venice</w:t>
      </w:r>
      <w:r w:rsidR="00552110">
        <w:t xml:space="preserve">, </w:t>
      </w:r>
      <w:r w:rsidR="00B60425">
        <w:t>devant l’objectif de celui qui filme la course de voitures, s’interposant entre le spectacle et la caméra</w:t>
      </w:r>
      <w:r w:rsidR="00552110">
        <w:t xml:space="preserve">, </w:t>
      </w:r>
      <w:proofErr w:type="spellStart"/>
      <w:r w:rsidR="00552110">
        <w:t>Chion</w:t>
      </w:r>
      <w:proofErr w:type="spellEnd"/>
      <w:r w:rsidR="00552110">
        <w:t xml:space="preserve"> explique que cette « figure d’interposition » se décline sous des formes particulièrement variées dans </w:t>
      </w:r>
      <w:r w:rsidR="00552110" w:rsidRPr="006A3EC2">
        <w:rPr>
          <w:i/>
          <w:iCs/>
        </w:rPr>
        <w:t>Les Lumières de la ville</w:t>
      </w:r>
      <w:r w:rsidR="00DA63B7">
        <w:t xml:space="preserve">. </w:t>
      </w:r>
    </w:p>
    <w:p w14:paraId="6604BDD4" w14:textId="6945E747" w:rsidR="00D76B6A" w:rsidRDefault="00DA63B7" w:rsidP="00F90809">
      <w:r>
        <w:t xml:space="preserve">Chaque fois, </w:t>
      </w:r>
      <w:r w:rsidR="00500F8E">
        <w:t xml:space="preserve">selon lui, </w:t>
      </w:r>
      <w:r>
        <w:t xml:space="preserve">« elle suppose trois personnes, ou plutôt trois places, dont il suffit que deux soient occupés par quelqu’un ». </w:t>
      </w:r>
      <w:r w:rsidR="00552110">
        <w:t xml:space="preserve"> Dès les deux premières séquences</w:t>
      </w:r>
      <w:r>
        <w:t>, où Charlot se trouve entre la statue et le public, puis face à un homme entre la vitrine et lui</w:t>
      </w:r>
      <w:r w:rsidR="00552110">
        <w:t xml:space="preserve">, </w:t>
      </w:r>
      <w:r>
        <w:t>l’interposition</w:t>
      </w:r>
      <w:r w:rsidR="00552110">
        <w:t xml:space="preserve"> « prend deux sens combinés ou opposés : capter pour soi ce qui s’adresse à un autre, ou interdire un accès ». </w:t>
      </w:r>
      <w:r>
        <w:t xml:space="preserve">La scène de la rencontre avec l’Aveugle, par le jeu complexe qu’elle noue avec le propriétaire de la voiture, de même que la scène du match de boxe, où Charlot replace l’arbitre entre son adversaire et lui, font encore varier cette figure. C’est dans cette « permutation constance des places et des rôles » que les jeux de miroir du film prennent sens, l’ensemble trouvant son point d’aboutissement dans la scène de reconnaissance, </w:t>
      </w:r>
      <w:r w:rsidR="00500F8E">
        <w:t>avec</w:t>
      </w:r>
      <w:r>
        <w:t xml:space="preserve"> laquelle l’interposition prend fin.</w:t>
      </w:r>
      <w:r w:rsidR="00500F8E">
        <w:t xml:space="preserve"> A partir de l’idée d’interposition, c’est une lecture d’inspiration psychanalytique du film entier que propose Michel </w:t>
      </w:r>
      <w:proofErr w:type="spellStart"/>
      <w:r w:rsidR="00500F8E">
        <w:t>Chion</w:t>
      </w:r>
      <w:proofErr w:type="spellEnd"/>
      <w:r w:rsidR="00A02CDE">
        <w:t>.</w:t>
      </w:r>
    </w:p>
    <w:p w14:paraId="0E1004DA" w14:textId="77777777" w:rsidR="00A02CDE" w:rsidRDefault="00A02CDE" w:rsidP="00F90809"/>
    <w:p w14:paraId="101CE229" w14:textId="77777777" w:rsidR="00A02CDE" w:rsidRDefault="00A02CDE" w:rsidP="00F90809"/>
    <w:p w14:paraId="5479B8F5" w14:textId="77777777" w:rsidR="00A02CDE" w:rsidRDefault="00A02CDE" w:rsidP="00F90809"/>
    <w:p w14:paraId="539B4E3D" w14:textId="77777777" w:rsidR="00A02CDE" w:rsidRDefault="00A02CDE" w:rsidP="00F90809"/>
    <w:p w14:paraId="17726299" w14:textId="77777777" w:rsidR="00A02CDE" w:rsidRPr="00A02CDE" w:rsidRDefault="00A02CDE" w:rsidP="00A02CDE">
      <w:pPr>
        <w:rPr>
          <w:b/>
          <w:bCs/>
          <w:sz w:val="28"/>
          <w:szCs w:val="28"/>
        </w:rPr>
      </w:pPr>
      <w:r w:rsidRPr="00A02CDE">
        <w:rPr>
          <w:b/>
          <w:bCs/>
          <w:sz w:val="28"/>
          <w:szCs w:val="28"/>
          <w:u w:val="single"/>
        </w:rPr>
        <w:lastRenderedPageBreak/>
        <w:t>Articles de périodique</w:t>
      </w:r>
      <w:r w:rsidRPr="00A02CDE">
        <w:rPr>
          <w:b/>
          <w:bCs/>
          <w:sz w:val="28"/>
          <w:szCs w:val="28"/>
        </w:rPr>
        <w:t> :</w:t>
      </w:r>
    </w:p>
    <w:p w14:paraId="1A3D52AA" w14:textId="77777777" w:rsidR="00A02CDE" w:rsidRDefault="00A02CDE" w:rsidP="00A02CDE"/>
    <w:p w14:paraId="3D98F762" w14:textId="77777777" w:rsidR="00A02CDE" w:rsidRPr="00291B43" w:rsidRDefault="00A02CDE" w:rsidP="00A02CDE">
      <w:pPr>
        <w:rPr>
          <w:b/>
          <w:bCs/>
          <w:color w:val="0070C0"/>
        </w:rPr>
      </w:pPr>
      <w:r w:rsidRPr="00291B43">
        <w:rPr>
          <w:b/>
          <w:bCs/>
          <w:color w:val="0070C0"/>
        </w:rPr>
        <w:t xml:space="preserve"> - </w:t>
      </w:r>
      <w:r w:rsidRPr="00291B43">
        <w:rPr>
          <w:b/>
          <w:bCs/>
          <w:i/>
          <w:iCs/>
          <w:color w:val="0070C0"/>
        </w:rPr>
        <w:t>Cahiers du cinéma</w:t>
      </w:r>
      <w:r w:rsidRPr="00291B43">
        <w:rPr>
          <w:b/>
          <w:bCs/>
          <w:color w:val="0070C0"/>
        </w:rPr>
        <w:t xml:space="preserve"> n° 591, juin 2004, p. 68-69 : Hubert </w:t>
      </w:r>
      <w:proofErr w:type="spellStart"/>
      <w:r w:rsidRPr="00291B43">
        <w:rPr>
          <w:b/>
          <w:bCs/>
          <w:color w:val="0070C0"/>
        </w:rPr>
        <w:t>Damisch</w:t>
      </w:r>
      <w:proofErr w:type="spellEnd"/>
      <w:r w:rsidRPr="00291B43">
        <w:rPr>
          <w:b/>
          <w:bCs/>
          <w:color w:val="0070C0"/>
        </w:rPr>
        <w:t xml:space="preserve">, « ‘You can </w:t>
      </w:r>
      <w:proofErr w:type="spellStart"/>
      <w:r w:rsidRPr="00291B43">
        <w:rPr>
          <w:b/>
          <w:bCs/>
          <w:color w:val="0070C0"/>
        </w:rPr>
        <w:t>see</w:t>
      </w:r>
      <w:proofErr w:type="spellEnd"/>
      <w:r w:rsidRPr="00291B43">
        <w:rPr>
          <w:b/>
          <w:bCs/>
          <w:color w:val="0070C0"/>
        </w:rPr>
        <w:t xml:space="preserve"> me </w:t>
      </w:r>
      <w:proofErr w:type="spellStart"/>
      <w:r w:rsidRPr="00291B43">
        <w:rPr>
          <w:b/>
          <w:bCs/>
          <w:color w:val="0070C0"/>
        </w:rPr>
        <w:t>now</w:t>
      </w:r>
      <w:proofErr w:type="spellEnd"/>
      <w:r w:rsidRPr="00291B43">
        <w:rPr>
          <w:b/>
          <w:bCs/>
          <w:color w:val="0070C0"/>
        </w:rPr>
        <w:t> ?’ : Montage transversal (I) » :</w:t>
      </w:r>
    </w:p>
    <w:p w14:paraId="30574A36" w14:textId="77777777" w:rsidR="00A02CDE" w:rsidRDefault="00A02CDE" w:rsidP="00A02CDE">
      <w:r>
        <w:t xml:space="preserve">Analyse comparée d’une scène de </w:t>
      </w:r>
      <w:r w:rsidRPr="00E5408B">
        <w:rPr>
          <w:i/>
          <w:iCs/>
        </w:rPr>
        <w:t>La Femme au portrait</w:t>
      </w:r>
      <w:r>
        <w:t xml:space="preserve"> de Fritz Lang et de la scène finale des </w:t>
      </w:r>
      <w:r w:rsidRPr="00E5408B">
        <w:rPr>
          <w:i/>
          <w:iCs/>
        </w:rPr>
        <w:t>Lumières de la Ville</w:t>
      </w:r>
      <w:r>
        <w:t xml:space="preserve">. Chez Lang, la première apparition du personnage féminin l’associe au portrait de femme qui fascine le héros en inscrivant, sur la vitre de la boutique, le reflet de l’actrice à côté de celui du tableau. Chez Chaplin, le champ contrechamp donnant à voir l’échange de regards entre Charlot et la fleuriste, qui a recouvré la vue grâce à lui mais ne le reconnait pas, ignore la vitre qui sépare les deux personnages. </w:t>
      </w:r>
      <w:proofErr w:type="spellStart"/>
      <w:r>
        <w:t>Damisch</w:t>
      </w:r>
      <w:proofErr w:type="spellEnd"/>
      <w:r>
        <w:t xml:space="preserve"> voit dans ce deuxième choix de mise en scène une forme de montage transversal, jouant sur une suture ou charnière invisible. A la vitrine assimilée à une fenêtre entre intérieur et extérieur, ou « une fenêtre sur le monde » s’opposerait la vitrine sans reflet ni cadre, opposant seulement un avers et un avers, comme la structure de bois ou de métal du diptyque en peinture.</w:t>
      </w:r>
    </w:p>
    <w:p w14:paraId="1FC6CAC4" w14:textId="77777777" w:rsidR="00A02CDE" w:rsidRDefault="00A02CDE" w:rsidP="00A02CDE">
      <w:r>
        <w:t xml:space="preserve">La séquence peut aussi être lue, selon </w:t>
      </w:r>
      <w:proofErr w:type="spellStart"/>
      <w:r>
        <w:t>Damisch</w:t>
      </w:r>
      <w:proofErr w:type="spellEnd"/>
      <w:r>
        <w:t>, comme une analogie de l’évolution technique du cinéma à l’époque, de la vision muette à la parole, en passant ici par le toucher voire l’odorat.</w:t>
      </w:r>
    </w:p>
    <w:p w14:paraId="285D902E" w14:textId="77777777" w:rsidR="00A02CDE" w:rsidRDefault="00A02CDE" w:rsidP="00A02CDE"/>
    <w:p w14:paraId="2870F96C" w14:textId="77777777" w:rsidR="00A02CDE" w:rsidRDefault="00A02CDE" w:rsidP="00A02CDE"/>
    <w:p w14:paraId="111D6D5E" w14:textId="77777777" w:rsidR="00A02CDE" w:rsidRPr="00291B43" w:rsidRDefault="00A02CDE" w:rsidP="00A02CDE">
      <w:pPr>
        <w:rPr>
          <w:b/>
          <w:bCs/>
          <w:color w:val="0070C0"/>
        </w:rPr>
      </w:pPr>
      <w:bookmarkStart w:id="0" w:name="_Hlk139554056"/>
      <w:r w:rsidRPr="00291B43">
        <w:rPr>
          <w:b/>
          <w:bCs/>
          <w:color w:val="0070C0"/>
        </w:rPr>
        <w:t xml:space="preserve">- </w:t>
      </w:r>
      <w:r w:rsidRPr="00291B43">
        <w:rPr>
          <w:b/>
          <w:bCs/>
          <w:i/>
          <w:iCs/>
          <w:color w:val="0070C0"/>
        </w:rPr>
        <w:t>Cahier des Ailes du désir</w:t>
      </w:r>
      <w:r w:rsidRPr="00291B43">
        <w:rPr>
          <w:b/>
          <w:bCs/>
          <w:color w:val="0070C0"/>
        </w:rPr>
        <w:t xml:space="preserve"> n° 26, mai 2018, « Charlie Chaplin, </w:t>
      </w:r>
      <w:r w:rsidRPr="00AA2B37">
        <w:rPr>
          <w:b/>
          <w:bCs/>
          <w:i/>
          <w:iCs/>
          <w:color w:val="0070C0"/>
        </w:rPr>
        <w:t>Les Lumières de la ville</w:t>
      </w:r>
      <w:r w:rsidRPr="00291B43">
        <w:rPr>
          <w:b/>
          <w:bCs/>
          <w:color w:val="0070C0"/>
        </w:rPr>
        <w:t> ».</w:t>
      </w:r>
    </w:p>
    <w:p w14:paraId="30F96D6A" w14:textId="77777777" w:rsidR="00A02CDE" w:rsidRPr="00291B43" w:rsidRDefault="00A02CDE" w:rsidP="00A02CDE">
      <w:pPr>
        <w:rPr>
          <w:b/>
          <w:bCs/>
          <w:color w:val="0070C0"/>
        </w:rPr>
      </w:pPr>
      <w:r w:rsidRPr="00291B43">
        <w:rPr>
          <w:b/>
          <w:bCs/>
          <w:color w:val="0070C0"/>
        </w:rPr>
        <w:t>p. 2-18 : Stéphane Goudet, « Le diptyque des statues » :</w:t>
      </w:r>
    </w:p>
    <w:bookmarkEnd w:id="0"/>
    <w:p w14:paraId="36528984" w14:textId="59D235D8" w:rsidR="00A02CDE" w:rsidRDefault="00A02CDE" w:rsidP="00F90809">
      <w:r>
        <w:t xml:space="preserve">Remarquant que les deux premières séquences des </w:t>
      </w:r>
      <w:r w:rsidRPr="00E5408B">
        <w:rPr>
          <w:i/>
          <w:iCs/>
        </w:rPr>
        <w:t>Lumières de la Ville</w:t>
      </w:r>
      <w:r>
        <w:t xml:space="preserve"> mettent l’une et l’autre en scène des statues, l’auteur se propose d’analyser le rôle ou le sens que le film leur donne. Satire politique, symbolique religieuse, allusions sexuelles, jeux entre le discours et l’image, le trivial et le sublime, le voilé et le dévoilé, auxquels s’ajoute un travail réflexif sur le son, le muet et le parlant : l’analyse révèle comment tout ce qui apparait dans ces deux séquences est d’emblée problématisé. Stéphane Goudet embrasse ainsi nombre de questionnements dont il évoque aussi les prolongements plus loin dans le film, ainsi que les échos dans toute l’œuvre de Chaplin, voire celle de Buster Keaton, sans oublier les modèles iconographiques venus de la peinture ou la sculpture.</w:t>
      </w:r>
    </w:p>
    <w:sectPr w:rsidR="00A02CDE">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DA204" w14:textId="77777777" w:rsidR="008C7F66" w:rsidRDefault="008C7F66" w:rsidP="001064C8">
      <w:pPr>
        <w:spacing w:after="0" w:line="240" w:lineRule="auto"/>
      </w:pPr>
      <w:r>
        <w:separator/>
      </w:r>
    </w:p>
  </w:endnote>
  <w:endnote w:type="continuationSeparator" w:id="0">
    <w:p w14:paraId="75FD1A8A" w14:textId="77777777" w:rsidR="008C7F66" w:rsidRDefault="008C7F66" w:rsidP="00106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uted Gothic Narrow">
    <w:panose1 w:val="02000506000000000000"/>
    <w:charset w:val="00"/>
    <w:family w:val="auto"/>
    <w:pitch w:val="variable"/>
    <w:sig w:usb0="8000006F" w:usb1="120000F9" w:usb2="00000000" w:usb3="00000000" w:csb0="00000011" w:csb1="00000000"/>
  </w:font>
  <w:font w:name="Ubuntu Mono">
    <w:panose1 w:val="020B0509030602030204"/>
    <w:charset w:val="00"/>
    <w:family w:val="modern"/>
    <w:pitch w:val="fixed"/>
    <w:sig w:usb0="E00002FF" w:usb1="5000205B" w:usb2="00000000" w:usb3="00000000" w:csb0="0000009F" w:csb1="00000000"/>
  </w:font>
  <w:font w:name="Work Sans">
    <w:altName w:val="Work Sans"/>
    <w:panose1 w:val="00000500000000000000"/>
    <w:charset w:val="00"/>
    <w:family w:val="modern"/>
    <w:notTrueType/>
    <w:pitch w:val="variable"/>
    <w:sig w:usb0="00000007" w:usb1="00000001"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5725438"/>
      <w:docPartObj>
        <w:docPartGallery w:val="Page Numbers (Bottom of Page)"/>
        <w:docPartUnique/>
      </w:docPartObj>
    </w:sdtPr>
    <w:sdtContent>
      <w:p w14:paraId="07886E42" w14:textId="716A0C44" w:rsidR="001064C8" w:rsidRDefault="001064C8">
        <w:pPr>
          <w:pStyle w:val="Pieddepage"/>
          <w:jc w:val="right"/>
        </w:pPr>
        <w:r>
          <w:fldChar w:fldCharType="begin"/>
        </w:r>
        <w:r>
          <w:instrText>PAGE   \* MERGEFORMAT</w:instrText>
        </w:r>
        <w:r>
          <w:fldChar w:fldCharType="separate"/>
        </w:r>
        <w:r>
          <w:t>2</w:t>
        </w:r>
        <w:r>
          <w:fldChar w:fldCharType="end"/>
        </w:r>
      </w:p>
    </w:sdtContent>
  </w:sdt>
  <w:p w14:paraId="5F8EEDD6" w14:textId="77777777" w:rsidR="001064C8" w:rsidRDefault="001064C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D5781" w14:textId="77777777" w:rsidR="008C7F66" w:rsidRDefault="008C7F66" w:rsidP="001064C8">
      <w:pPr>
        <w:spacing w:after="0" w:line="240" w:lineRule="auto"/>
      </w:pPr>
      <w:r>
        <w:separator/>
      </w:r>
    </w:p>
  </w:footnote>
  <w:footnote w:type="continuationSeparator" w:id="0">
    <w:p w14:paraId="1EA74219" w14:textId="77777777" w:rsidR="008C7F66" w:rsidRDefault="008C7F66" w:rsidP="001064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3175A2"/>
    <w:multiLevelType w:val="hybridMultilevel"/>
    <w:tmpl w:val="812ABC5E"/>
    <w:lvl w:ilvl="0" w:tplc="1C10E28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15672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7FC"/>
    <w:rsid w:val="000527FB"/>
    <w:rsid w:val="000C4A62"/>
    <w:rsid w:val="000C7070"/>
    <w:rsid w:val="00104777"/>
    <w:rsid w:val="001064C8"/>
    <w:rsid w:val="00111235"/>
    <w:rsid w:val="00113E5F"/>
    <w:rsid w:val="00130573"/>
    <w:rsid w:val="0014619F"/>
    <w:rsid w:val="00150A6D"/>
    <w:rsid w:val="001B1127"/>
    <w:rsid w:val="001C268F"/>
    <w:rsid w:val="001D7F1D"/>
    <w:rsid w:val="001F5CC5"/>
    <w:rsid w:val="00241736"/>
    <w:rsid w:val="00291B43"/>
    <w:rsid w:val="00302DC6"/>
    <w:rsid w:val="0031579C"/>
    <w:rsid w:val="00337634"/>
    <w:rsid w:val="003508EF"/>
    <w:rsid w:val="003618D1"/>
    <w:rsid w:val="003672FC"/>
    <w:rsid w:val="003E4EB6"/>
    <w:rsid w:val="00413F2C"/>
    <w:rsid w:val="00481427"/>
    <w:rsid w:val="004A44EB"/>
    <w:rsid w:val="004D69F7"/>
    <w:rsid w:val="004E43B4"/>
    <w:rsid w:val="00500F8E"/>
    <w:rsid w:val="005017B0"/>
    <w:rsid w:val="0051480E"/>
    <w:rsid w:val="00516F9F"/>
    <w:rsid w:val="00523848"/>
    <w:rsid w:val="005270D9"/>
    <w:rsid w:val="00552110"/>
    <w:rsid w:val="005C6760"/>
    <w:rsid w:val="00607CA6"/>
    <w:rsid w:val="00697062"/>
    <w:rsid w:val="006A3EC2"/>
    <w:rsid w:val="006C2BE0"/>
    <w:rsid w:val="006D089E"/>
    <w:rsid w:val="00735506"/>
    <w:rsid w:val="007A27CE"/>
    <w:rsid w:val="007A6523"/>
    <w:rsid w:val="007B2AE1"/>
    <w:rsid w:val="00883C77"/>
    <w:rsid w:val="008C5E2A"/>
    <w:rsid w:val="008C7F66"/>
    <w:rsid w:val="008D1A20"/>
    <w:rsid w:val="008E65DB"/>
    <w:rsid w:val="008F0518"/>
    <w:rsid w:val="009252B5"/>
    <w:rsid w:val="00933CCC"/>
    <w:rsid w:val="009374B8"/>
    <w:rsid w:val="00976ACC"/>
    <w:rsid w:val="009A3DF4"/>
    <w:rsid w:val="009A6F8E"/>
    <w:rsid w:val="009B2297"/>
    <w:rsid w:val="009E426F"/>
    <w:rsid w:val="00A02CDE"/>
    <w:rsid w:val="00A24992"/>
    <w:rsid w:val="00A2505A"/>
    <w:rsid w:val="00A37787"/>
    <w:rsid w:val="00A45F20"/>
    <w:rsid w:val="00A70CCD"/>
    <w:rsid w:val="00A727FC"/>
    <w:rsid w:val="00A72C54"/>
    <w:rsid w:val="00AA2B37"/>
    <w:rsid w:val="00AA33EC"/>
    <w:rsid w:val="00AA548E"/>
    <w:rsid w:val="00B4026A"/>
    <w:rsid w:val="00B4056F"/>
    <w:rsid w:val="00B60425"/>
    <w:rsid w:val="00BA2B7C"/>
    <w:rsid w:val="00BB3BAE"/>
    <w:rsid w:val="00BB6863"/>
    <w:rsid w:val="00BC3624"/>
    <w:rsid w:val="00BE259F"/>
    <w:rsid w:val="00C116F4"/>
    <w:rsid w:val="00C3623A"/>
    <w:rsid w:val="00C47EAF"/>
    <w:rsid w:val="00C61808"/>
    <w:rsid w:val="00D76B6A"/>
    <w:rsid w:val="00D85828"/>
    <w:rsid w:val="00D94523"/>
    <w:rsid w:val="00DA63B7"/>
    <w:rsid w:val="00DB685A"/>
    <w:rsid w:val="00E004AC"/>
    <w:rsid w:val="00E253D5"/>
    <w:rsid w:val="00E5408B"/>
    <w:rsid w:val="00E5555C"/>
    <w:rsid w:val="00E611B6"/>
    <w:rsid w:val="00E67CFD"/>
    <w:rsid w:val="00E80690"/>
    <w:rsid w:val="00E90EC7"/>
    <w:rsid w:val="00ED5232"/>
    <w:rsid w:val="00EF100D"/>
    <w:rsid w:val="00F23568"/>
    <w:rsid w:val="00F42F76"/>
    <w:rsid w:val="00F5085D"/>
    <w:rsid w:val="00F90809"/>
    <w:rsid w:val="00FC2BF8"/>
    <w:rsid w:val="00FC2E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10631"/>
  <w15:chartTrackingRefBased/>
  <w15:docId w15:val="{970DDE9C-1B8E-4B63-928B-DCA8699AA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0EC7"/>
    <w:pPr>
      <w:jc w:val="both"/>
    </w:pPr>
    <w:rPr>
      <w:rFonts w:ascii="Times New Roman" w:hAnsi="Times New Roman" w:cs="Times New Roman"/>
      <w:kern w:val="0"/>
      <w:sz w:val="24"/>
      <w:szCs w:val="24"/>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nna-Lise-titre">
    <w:name w:val="Anna-Lise - titre"/>
    <w:basedOn w:val="Normal"/>
    <w:qFormat/>
    <w:rsid w:val="00A45F20"/>
    <w:pPr>
      <w:spacing w:line="276" w:lineRule="auto"/>
    </w:pPr>
    <w:rPr>
      <w:rFonts w:ascii="Routed Gothic Narrow" w:hAnsi="Routed Gothic Narrow"/>
      <w:sz w:val="40"/>
      <w:szCs w:val="40"/>
    </w:rPr>
  </w:style>
  <w:style w:type="paragraph" w:customStyle="1" w:styleId="Anna-Lise-notes">
    <w:name w:val="Anna-Lise - notes"/>
    <w:basedOn w:val="Notedebasdepage"/>
    <w:qFormat/>
    <w:rsid w:val="00A45F20"/>
    <w:rPr>
      <w:rFonts w:ascii="Ubuntu Mono" w:hAnsi="Ubuntu Mono"/>
    </w:rPr>
  </w:style>
  <w:style w:type="paragraph" w:styleId="Notedebasdepage">
    <w:name w:val="footnote text"/>
    <w:basedOn w:val="Normal"/>
    <w:link w:val="NotedebasdepageCar"/>
    <w:uiPriority w:val="99"/>
    <w:semiHidden/>
    <w:unhideWhenUsed/>
    <w:rsid w:val="0033763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37634"/>
    <w:rPr>
      <w:rFonts w:ascii="Times New Roman" w:hAnsi="Times New Roman" w:cs="Times New Roman"/>
      <w:sz w:val="20"/>
      <w:szCs w:val="20"/>
    </w:rPr>
  </w:style>
  <w:style w:type="paragraph" w:customStyle="1" w:styleId="Anna-Lise-corps">
    <w:name w:val="Anna-Lise - corps"/>
    <w:basedOn w:val="Normal"/>
    <w:qFormat/>
    <w:rsid w:val="00A45F20"/>
    <w:pPr>
      <w:spacing w:line="276" w:lineRule="auto"/>
      <w:ind w:firstLine="284"/>
    </w:pPr>
    <w:rPr>
      <w:rFonts w:ascii="Work Sans" w:hAnsi="Work Sans"/>
    </w:rPr>
  </w:style>
  <w:style w:type="paragraph" w:customStyle="1" w:styleId="Anna-Lise-sous-titre">
    <w:name w:val="Anna-Lise - sous-titre"/>
    <w:basedOn w:val="Normal"/>
    <w:next w:val="Anna-Lise-corps"/>
    <w:qFormat/>
    <w:rsid w:val="00A72C54"/>
    <w:rPr>
      <w:rFonts w:ascii="Routed Gothic Narrow" w:hAnsi="Routed Gothic Narrow"/>
      <w:sz w:val="28"/>
      <w:szCs w:val="28"/>
    </w:rPr>
  </w:style>
  <w:style w:type="paragraph" w:customStyle="1" w:styleId="Anna-Lise-citation">
    <w:name w:val="Anna-Lise - citation"/>
    <w:basedOn w:val="Normal"/>
    <w:qFormat/>
    <w:rsid w:val="00DB685A"/>
    <w:pPr>
      <w:spacing w:before="200" w:line="276" w:lineRule="auto"/>
      <w:ind w:left="2268" w:firstLine="564"/>
    </w:pPr>
    <w:rPr>
      <w:rFonts w:ascii="Work Sans" w:hAnsi="Work Sans" w:cstheme="minorBidi"/>
      <w:i/>
      <w:iCs/>
      <w:color w:val="000000" w:themeColor="text1"/>
      <w:kern w:val="2"/>
      <w:sz w:val="22"/>
      <w:szCs w:val="22"/>
      <w14:ligatures w14:val="standardContextual"/>
    </w:rPr>
  </w:style>
  <w:style w:type="paragraph" w:customStyle="1" w:styleId="Anna-Lise-exergue">
    <w:name w:val="Anna-Lise - exergue"/>
    <w:basedOn w:val="Normal"/>
    <w:qFormat/>
    <w:rsid w:val="00DB685A"/>
    <w:pPr>
      <w:ind w:left="2268" w:firstLine="564"/>
    </w:pPr>
    <w:rPr>
      <w:rFonts w:ascii="Work Sans" w:hAnsi="Work Sans"/>
      <w:i/>
      <w:iCs/>
    </w:rPr>
  </w:style>
  <w:style w:type="paragraph" w:styleId="Paragraphedeliste">
    <w:name w:val="List Paragraph"/>
    <w:basedOn w:val="Normal"/>
    <w:uiPriority w:val="34"/>
    <w:qFormat/>
    <w:rsid w:val="004A44EB"/>
    <w:pPr>
      <w:ind w:left="720"/>
      <w:contextualSpacing/>
    </w:pPr>
  </w:style>
  <w:style w:type="paragraph" w:styleId="En-tte">
    <w:name w:val="header"/>
    <w:basedOn w:val="Normal"/>
    <w:link w:val="En-tteCar"/>
    <w:uiPriority w:val="99"/>
    <w:unhideWhenUsed/>
    <w:rsid w:val="001064C8"/>
    <w:pPr>
      <w:tabs>
        <w:tab w:val="center" w:pos="4536"/>
        <w:tab w:val="right" w:pos="9072"/>
      </w:tabs>
      <w:spacing w:after="0" w:line="240" w:lineRule="auto"/>
    </w:pPr>
  </w:style>
  <w:style w:type="character" w:customStyle="1" w:styleId="En-tteCar">
    <w:name w:val="En-tête Car"/>
    <w:basedOn w:val="Policepardfaut"/>
    <w:link w:val="En-tte"/>
    <w:uiPriority w:val="99"/>
    <w:rsid w:val="001064C8"/>
    <w:rPr>
      <w:rFonts w:ascii="Times New Roman" w:hAnsi="Times New Roman" w:cs="Times New Roman"/>
      <w:kern w:val="0"/>
      <w:sz w:val="24"/>
      <w:szCs w:val="24"/>
      <w14:ligatures w14:val="none"/>
    </w:rPr>
  </w:style>
  <w:style w:type="paragraph" w:styleId="Pieddepage">
    <w:name w:val="footer"/>
    <w:basedOn w:val="Normal"/>
    <w:link w:val="PieddepageCar"/>
    <w:uiPriority w:val="99"/>
    <w:unhideWhenUsed/>
    <w:rsid w:val="001064C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064C8"/>
    <w:rPr>
      <w:rFonts w:ascii="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0595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0236CB-4E77-4617-887B-2374FEFFA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745</TotalTime>
  <Pages>1</Pages>
  <Words>1212</Words>
  <Characters>6672</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Martial PISANI</dc:creator>
  <cp:keywords/>
  <dc:description/>
  <cp:lastModifiedBy>Martial PISANI</cp:lastModifiedBy>
  <cp:revision>42</cp:revision>
  <dcterms:created xsi:type="dcterms:W3CDTF">2023-05-03T12:50:00Z</dcterms:created>
  <dcterms:modified xsi:type="dcterms:W3CDTF">2023-08-14T20:00:00Z</dcterms:modified>
</cp:coreProperties>
</file>